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AA7665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AC18FA9" w14:textId="186D3B37" w:rsidR="000B0AB1" w:rsidRPr="00AA7665" w:rsidRDefault="00AD6B88" w:rsidP="000B0AB1">
          <w:pPr>
            <w:rPr>
              <w:rFonts w:ascii="BOG 2017" w:hAnsi="BOG 2017" w:cstheme="minorHAnsi"/>
              <w:color w:val="auto"/>
            </w:rPr>
          </w:pPr>
          <w:r w:rsidRPr="00AA7665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06819DF9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proofErr w:type="spellStart"/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</w:t>
                                </w:r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>ს</w:t>
                                </w:r>
                                <w:proofErr w:type="spellEnd"/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proofErr w:type="spellStart"/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საქართველოს</w:t>
                                </w:r>
                                <w:proofErr w:type="spellEnd"/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proofErr w:type="spellStart"/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>ბანკის</w:t>
                                </w:r>
                                <w:proofErr w:type="spellEnd"/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proofErr w:type="spellStart"/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>ობიექტების</w:t>
                                </w:r>
                                <w:proofErr w:type="spellEnd"/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proofErr w:type="spellStart"/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სამშენებლო</w:t>
                                </w:r>
                                <w:proofErr w:type="spellEnd"/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proofErr w:type="spellStart"/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>და</w:t>
                                </w:r>
                                <w:proofErr w:type="spellEnd"/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proofErr w:type="spellStart"/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სარემონტო</w:t>
                                </w:r>
                                <w:proofErr w:type="spellEnd"/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proofErr w:type="spellStart"/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სამუშაოებზე</w:t>
                                </w:r>
                                <w:proofErr w:type="spellEnd"/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(</w:t>
                                </w:r>
                                <w:proofErr w:type="spellStart"/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>გენერალური</w:t>
                                </w:r>
                                <w:proofErr w:type="spellEnd"/>
                                <w:r w:rsidR="00FC1111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ხელშეკრულების გაფორმების მიზნით)</w:t>
                                </w:r>
                                <w:r w:rsidR="00C7705B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17085E" w:rsidRP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</w:t>
                                </w:r>
                                <w:r w:rsidR="00FC111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მ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="000554F8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მისაღებად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ა გაიროს ბანკის შესყიდვების პორტალზე (SAP </w:t>
                                </w:r>
                                <w:proofErr w:type="spellStart"/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Ariba</w:t>
                                </w:r>
                                <w:proofErr w:type="spellEnd"/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).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7EE70F9" w14:textId="5AF641EA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ტენდერის დასრულებამდე მინიმუმ </w:t>
                                </w:r>
                                <w:r w:rsidR="00FC1111">
                                  <w:rPr>
                                    <w:rFonts w:asciiTheme="minorHAnsi" w:hAnsiTheme="minorHAnsi"/>
                                    <w:b/>
                                    <w:u w:val="single"/>
                                    <w:lang w:val="ka-GE"/>
                                  </w:rPr>
                                  <w:t>3-4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4B2900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4B7592B3" w14:textId="77777777" w:rsidR="004B2900" w:rsidRPr="004B2900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4B2900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54FF301C" w14:textId="7889AA46" w:rsidR="00AD6B88" w:rsidRPr="004B2900" w:rsidRDefault="004B290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შესყიდვების მიმართულებით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7542F35D" w:rsidR="00AD6B88" w:rsidRPr="00FC1111" w:rsidRDefault="00FC1111" w:rsidP="003D032F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სალომე ყუფარაძე</w:t>
                                      </w:r>
                                    </w:p>
                                    <w:p w14:paraId="6A6615AC" w14:textId="184825E4" w:rsidR="00AD6B88" w:rsidRPr="004B2900" w:rsidRDefault="00FC111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BOG 2017" w:hAnsi="BOG 2017"/>
                                        </w:rPr>
                                        <w:t>s.kuparadze</w:t>
                                      </w:r>
                                      <w:proofErr w:type="spellEnd"/>
                                      <w:r w:rsidR="000B0AB1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@bog.ge</w:t>
                                      </w:r>
                                      <w:hyperlink r:id="rId9" w:history="1"/>
                                    </w:p>
                                    <w:p w14:paraId="603B7624" w14:textId="36F6E5C7" w:rsidR="00AD6B88" w:rsidRPr="00FC1111" w:rsidRDefault="00FC1111" w:rsidP="000B0AB1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</w:rPr>
                                        <w:t>599 611 222</w:t>
                                      </w:r>
                                    </w:p>
                                    <w:p w14:paraId="695A6A62" w14:textId="48D5DA22" w:rsidR="004B2900" w:rsidRPr="004B2900" w:rsidRDefault="004B2900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4DE65AD" w14:textId="1564BCCC" w:rsidR="004B2900" w:rsidRPr="00FC1111" w:rsidRDefault="004B2900" w:rsidP="00FC1111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06819DF9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proofErr w:type="spellStart"/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>ტენდერ</w:t>
                          </w:r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>ს</w:t>
                          </w:r>
                          <w:proofErr w:type="spellEnd"/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proofErr w:type="spellStart"/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>საქართველოს</w:t>
                          </w:r>
                          <w:proofErr w:type="spellEnd"/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proofErr w:type="spellStart"/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>ბანკის</w:t>
                          </w:r>
                          <w:proofErr w:type="spellEnd"/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proofErr w:type="spellStart"/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>ობიექტების</w:t>
                          </w:r>
                          <w:proofErr w:type="spellEnd"/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proofErr w:type="spellStart"/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>სამშენებლო</w:t>
                          </w:r>
                          <w:proofErr w:type="spellEnd"/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proofErr w:type="spellStart"/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>და</w:t>
                          </w:r>
                          <w:proofErr w:type="spellEnd"/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proofErr w:type="spellStart"/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>სარემონტო</w:t>
                          </w:r>
                          <w:proofErr w:type="spellEnd"/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proofErr w:type="spellStart"/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>სამუშაოებზე</w:t>
                          </w:r>
                          <w:proofErr w:type="spellEnd"/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 xml:space="preserve"> (</w:t>
                          </w:r>
                          <w:proofErr w:type="spellStart"/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>გენერალური</w:t>
                          </w:r>
                          <w:proofErr w:type="spellEnd"/>
                          <w:r w:rsidR="00FC1111" w:rsidRPr="00FC1111">
                            <w:rPr>
                              <w:rFonts w:ascii="BOG 2017" w:hAnsi="BOG 2017"/>
                              <w:lang w:val="ka-GE"/>
                            </w:rPr>
                            <w:t xml:space="preserve"> ხელშეკრულების გაფორმების მიზნით)</w:t>
                          </w:r>
                          <w:r w:rsidR="00C7705B" w:rsidRPr="00FC1111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17085E" w:rsidRPr="00FC1111">
                            <w:rPr>
                              <w:rFonts w:ascii="BOG 2017" w:hAnsi="BOG 2017"/>
                              <w:lang w:val="ka-GE"/>
                            </w:rPr>
                            <w:t>ტენდერში</w:t>
                          </w:r>
                          <w:r w:rsidR="00FC1111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AA7665">
                            <w:rPr>
                              <w:rFonts w:ascii="BOG 2017" w:hAnsi="BOG 2017"/>
                              <w:lang w:val="ka-GE"/>
                            </w:rPr>
                            <w:t>მ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="000554F8" w:rsidRPr="00AA7665">
                            <w:rPr>
                              <w:rFonts w:ascii="BOG 2017" w:hAnsi="BOG 2017"/>
                              <w:lang w:val="ka-GE"/>
                            </w:rPr>
                            <w:t>ის მისაღებად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ა გაიროს ბანკის შესყიდვების პორტალზე (SAP </w:t>
                          </w:r>
                          <w:proofErr w:type="spellStart"/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Ariba</w:t>
                          </w:r>
                          <w:proofErr w:type="spellEnd"/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).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</w:p>
                        <w:p w14:paraId="27EE70F9" w14:textId="5AF641EA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ტენდერის დასრულებამდე მინიმუმ </w:t>
                          </w:r>
                          <w:r w:rsidR="00FC1111">
                            <w:rPr>
                              <w:rFonts w:asciiTheme="minorHAnsi" w:hAnsiTheme="minorHAnsi"/>
                              <w:b/>
                              <w:u w:val="single"/>
                              <w:lang w:val="ka-GE"/>
                            </w:rPr>
                            <w:t>3-4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4B2900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4B7592B3" w14:textId="77777777" w:rsidR="004B2900" w:rsidRPr="004B2900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4B2900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4FF301C" w14:textId="7889AA46" w:rsidR="00AD6B88" w:rsidRPr="004B2900" w:rsidRDefault="004B290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შესყიდვების მიმართულებით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7542F35D" w:rsidR="00AD6B88" w:rsidRPr="00FC1111" w:rsidRDefault="00FC1111" w:rsidP="003D032F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სალომე ყუფარაძე</w:t>
                                </w:r>
                              </w:p>
                              <w:p w14:paraId="6A6615AC" w14:textId="184825E4" w:rsidR="00AD6B88" w:rsidRPr="004B2900" w:rsidRDefault="00FC111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G 2017" w:hAnsi="BOG 2017"/>
                                  </w:rPr>
                                  <w:t>s.kuparadze</w:t>
                                </w:r>
                                <w:proofErr w:type="spellEnd"/>
                                <w:r w:rsidR="000B0AB1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@bog.ge</w:t>
                                </w:r>
                                <w:hyperlink r:id="rId10" w:history="1"/>
                              </w:p>
                              <w:p w14:paraId="603B7624" w14:textId="36F6E5C7" w:rsidR="00AD6B88" w:rsidRPr="00FC1111" w:rsidRDefault="00FC1111" w:rsidP="000B0AB1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</w:rPr>
                                  <w:t>599 611 222</w:t>
                                </w:r>
                              </w:p>
                              <w:p w14:paraId="695A6A62" w14:textId="48D5DA22" w:rsidR="004B2900" w:rsidRPr="004B2900" w:rsidRDefault="004B2900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54DE65AD" w14:textId="1564BCCC" w:rsidR="004B2900" w:rsidRPr="00FC1111" w:rsidRDefault="004B2900" w:rsidP="00FC1111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AA7665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AA7665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475EF0E1" w:rsidR="006F3955" w:rsidRPr="00FF6665" w:rsidRDefault="00FC1111" w:rsidP="00FC1111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14 </w:t>
                                      </w:r>
                                      <w:r w:rsidR="0017085E"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ნოემბერი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A30DD5" w:rsidRPr="00AA7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AA7665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475EF0E1" w:rsidR="006F3955" w:rsidRPr="00FF6665" w:rsidRDefault="00FC1111" w:rsidP="00FC1111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14 </w:t>
                                </w:r>
                                <w:r w:rsidR="0017085E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ნოემბერი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A35CF7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A30DD5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AA7665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47BE8B30" w:rsidR="006F3955" w:rsidRPr="006E2839" w:rsidRDefault="00FC1111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cs="Sylfaen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>ტენდერი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Sylfaen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Sylfaen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>საქართველოს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Sylfaen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>ბანკის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Sylfaen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>ობიექტების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Sylfaen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>სამშენებლო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Sylfaen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>და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Sylfaen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>სარემონტო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Sylfaen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>სამუშაოებზე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cs="Sylfaen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>გენერალური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Sylfaen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>ხელშეკრულების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Sylfaen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>გაფორმების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Sylfaen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>მიზნით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32363A"/>
                                    <w:sz w:val="30"/>
                                    <w:szCs w:val="30"/>
                                    <w:shd w:val="clear" w:color="auto" w:fill="FFFFFF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47BE8B30" w:rsidR="006F3955" w:rsidRPr="006E2839" w:rsidRDefault="00FC1111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cs="Sylfaen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>ტენდერი</w:t>
                          </w:r>
                          <w:proofErr w:type="spellEnd"/>
                          <w:proofErr w:type="gramEnd"/>
                          <w:r>
                            <w:rPr>
                              <w:rFonts w:cs="Sylfaen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Sylfaen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>საქართველოს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Sylfaen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>ბანკის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Sylfaen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>ობიექტების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Sylfaen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>სამშენებლო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Sylfaen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>და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Sylfaen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>სარემონტო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Sylfaen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>სამუშაოებზე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cs="Sylfaen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>გენერალური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Sylfaen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>ხელშეკრულების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Sylfaen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>გაფორმების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Sylfaen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>მიზნით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2363A"/>
                              <w:sz w:val="30"/>
                              <w:szCs w:val="30"/>
                              <w:shd w:val="clear" w:color="auto" w:fill="FFFFFF"/>
                            </w:rPr>
                            <w:t>)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AA7665">
            <w:rPr>
              <w:rFonts w:ascii="BOG 2017" w:hAnsi="BOG 2017" w:cstheme="minorHAnsi"/>
              <w:color w:val="auto"/>
            </w:rPr>
            <w:br w:type="page"/>
          </w:r>
        </w:p>
      </w:sdtContent>
    </w:sdt>
    <w:p w14:paraId="55A6381A" w14:textId="108C7020" w:rsidR="00FC1111" w:rsidRDefault="00FC1111" w:rsidP="00922CEB">
      <w:pPr>
        <w:rPr>
          <w:rFonts w:ascii="BOG 2017" w:hAnsi="BOG 2017"/>
        </w:rPr>
      </w:pPr>
      <w:r w:rsidRPr="0070052C">
        <w:rPr>
          <w:rFonts w:ascii="BOG 2017" w:hAnsi="BOG 2017"/>
          <w:lang w:val="ka-GE"/>
        </w:rPr>
        <w:lastRenderedPageBreak/>
        <w:t>გთხოვთ გაითვალისწინოთ, რომ წინამდებარე  </w:t>
      </w:r>
      <w:r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</w:t>
      </w:r>
    </w:p>
    <w:p w14:paraId="76B6388A" w14:textId="77777777" w:rsidR="00922CEB" w:rsidRPr="00922CEB" w:rsidRDefault="00922CEB" w:rsidP="00922CEB">
      <w:pPr>
        <w:rPr>
          <w:rFonts w:ascii="BOG 2017" w:hAnsi="BOG 2017"/>
        </w:rPr>
      </w:pPr>
      <w:bookmarkStart w:id="0" w:name="_GoBack"/>
      <w:bookmarkEnd w:id="0"/>
    </w:p>
    <w:p w14:paraId="64C318C8" w14:textId="77777777" w:rsidR="00FC1111" w:rsidRPr="0070052C" w:rsidRDefault="00FC1111" w:rsidP="00FC1111">
      <w:pPr>
        <w:jc w:val="left"/>
        <w:rPr>
          <w:rFonts w:ascii="BOG 2017" w:hAnsi="BOG 2017"/>
          <w:lang w:val="ka-GE"/>
        </w:rPr>
      </w:pPr>
    </w:p>
    <w:p w14:paraId="2B9A9A9B" w14:textId="77777777" w:rsidR="00FC1111" w:rsidRPr="00E53E4B" w:rsidRDefault="00FC1111" w:rsidP="00FC1111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652A0000" w14:textId="77777777" w:rsidR="00FC1111" w:rsidRPr="00E53E4B" w:rsidRDefault="00FC1111" w:rsidP="00FC1111">
      <w:pPr>
        <w:pStyle w:val="ListParagraph"/>
        <w:numPr>
          <w:ilvl w:val="0"/>
          <w:numId w:val="3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 xml:space="preserve">ინსტრუქცია - მომწოდებლის რეგისტრაცია პორტალზე (SAP </w:t>
      </w:r>
      <w:proofErr w:type="spellStart"/>
      <w:r w:rsidRPr="00E53E4B">
        <w:rPr>
          <w:rFonts w:ascii="BOG 2017" w:hAnsi="BOG 2017"/>
          <w:lang w:val="ka-GE"/>
        </w:rPr>
        <w:t>Ariba</w:t>
      </w:r>
      <w:proofErr w:type="spellEnd"/>
      <w:r w:rsidRPr="00E53E4B">
        <w:rPr>
          <w:rFonts w:ascii="BOG 2017" w:hAnsi="BOG 2017"/>
          <w:lang w:val="ka-GE"/>
        </w:rPr>
        <w:t>)</w:t>
      </w:r>
    </w:p>
    <w:p w14:paraId="7DF6D74C" w14:textId="609FFBF7" w:rsidR="000D7568" w:rsidRPr="00FC1111" w:rsidRDefault="00FC1111" w:rsidP="00FC1111">
      <w:pPr>
        <w:pStyle w:val="ListParagraph"/>
        <w:numPr>
          <w:ilvl w:val="0"/>
          <w:numId w:val="3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sectPr w:rsidR="000D7568" w:rsidRPr="00FC1111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9600A" w14:textId="77777777" w:rsidR="00A26B27" w:rsidRDefault="00A26B27" w:rsidP="002E7950">
      <w:r>
        <w:separator/>
      </w:r>
    </w:p>
  </w:endnote>
  <w:endnote w:type="continuationSeparator" w:id="0">
    <w:p w14:paraId="45CDFFB5" w14:textId="77777777" w:rsidR="00A26B27" w:rsidRDefault="00A26B2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22CEB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22CEB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08CFE" w14:textId="77777777" w:rsidR="00A26B27" w:rsidRDefault="00A26B27" w:rsidP="002E7950">
      <w:r>
        <w:separator/>
      </w:r>
    </w:p>
  </w:footnote>
  <w:footnote w:type="continuationSeparator" w:id="0">
    <w:p w14:paraId="32424E4F" w14:textId="77777777" w:rsidR="00A26B27" w:rsidRDefault="00A26B2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90A25"/>
    <w:multiLevelType w:val="hybridMultilevel"/>
    <w:tmpl w:val="1632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2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1"/>
  </w:num>
  <w:num w:numId="4">
    <w:abstractNumId w:val="19"/>
  </w:num>
  <w:num w:numId="5">
    <w:abstractNumId w:val="18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7"/>
  </w:num>
  <w:num w:numId="9">
    <w:abstractNumId w:val="30"/>
  </w:num>
  <w:num w:numId="10">
    <w:abstractNumId w:val="7"/>
  </w:num>
  <w:num w:numId="11">
    <w:abstractNumId w:val="29"/>
  </w:num>
  <w:num w:numId="12">
    <w:abstractNumId w:val="2"/>
  </w:num>
  <w:num w:numId="13">
    <w:abstractNumId w:val="4"/>
  </w:num>
  <w:num w:numId="14">
    <w:abstractNumId w:val="32"/>
  </w:num>
  <w:num w:numId="15">
    <w:abstractNumId w:val="10"/>
  </w:num>
  <w:num w:numId="16">
    <w:abstractNumId w:val="25"/>
  </w:num>
  <w:num w:numId="17">
    <w:abstractNumId w:val="11"/>
  </w:num>
  <w:num w:numId="18">
    <w:abstractNumId w:val="16"/>
  </w:num>
  <w:num w:numId="19">
    <w:abstractNumId w:val="20"/>
  </w:num>
  <w:num w:numId="20">
    <w:abstractNumId w:val="17"/>
  </w:num>
  <w:num w:numId="21">
    <w:abstractNumId w:val="8"/>
  </w:num>
  <w:num w:numId="22">
    <w:abstractNumId w:val="12"/>
  </w:num>
  <w:num w:numId="23">
    <w:abstractNumId w:val="22"/>
  </w:num>
  <w:num w:numId="24">
    <w:abstractNumId w:val="14"/>
  </w:num>
  <w:num w:numId="25">
    <w:abstractNumId w:val="6"/>
  </w:num>
  <w:num w:numId="26">
    <w:abstractNumId w:val="3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23"/>
  </w:num>
  <w:num w:numId="32">
    <w:abstractNumId w:val="28"/>
  </w:num>
  <w:num w:numId="33">
    <w:abstractNumId w:val="24"/>
  </w:num>
  <w:num w:numId="34">
    <w:abstractNumId w:val="15"/>
  </w:num>
  <w:num w:numId="35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5336"/>
    <w:rsid w:val="00165DF0"/>
    <w:rsid w:val="0016643D"/>
    <w:rsid w:val="001665D6"/>
    <w:rsid w:val="0016683C"/>
    <w:rsid w:val="00166934"/>
    <w:rsid w:val="0017085E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1E67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6F1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05B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BB5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2FA9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0FA7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2CEB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B27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A7665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E63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111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3633"/>
    <w:rsid w:val="00FD3C1C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67E726-B907-4A55-BA64-400A2BAE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Salome Kuparadze</cp:lastModifiedBy>
  <cp:revision>5</cp:revision>
  <cp:lastPrinted>2019-10-17T14:03:00Z</cp:lastPrinted>
  <dcterms:created xsi:type="dcterms:W3CDTF">2022-10-25T08:22:00Z</dcterms:created>
  <dcterms:modified xsi:type="dcterms:W3CDTF">2022-11-03T06:16:00Z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